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9C5" w14:textId="77777777" w:rsidR="007E496C" w:rsidRDefault="007E496C" w:rsidP="007E496C">
      <w:pPr>
        <w:spacing w:after="0" w:line="240" w:lineRule="auto"/>
        <w:jc w:val="center"/>
        <w:rPr>
          <w:rFonts w:ascii="DINPro-Regular" w:eastAsia="Times New Roman Bold" w:hAnsi="DINPro-Regular"/>
          <w:b/>
          <w:bCs/>
          <w:caps/>
        </w:rPr>
      </w:pPr>
    </w:p>
    <w:p w14:paraId="733058EC" w14:textId="77777777" w:rsidR="007E496C" w:rsidRDefault="007E496C" w:rsidP="007E496C">
      <w:pPr>
        <w:spacing w:after="0" w:line="240" w:lineRule="auto"/>
        <w:jc w:val="center"/>
        <w:rPr>
          <w:rFonts w:ascii="DINPro-Regular" w:eastAsia="Times New Roman Bold" w:hAnsi="DINPro-Regular"/>
          <w:b/>
          <w:bCs/>
          <w:caps/>
        </w:rPr>
      </w:pPr>
    </w:p>
    <w:p w14:paraId="77B75A0E" w14:textId="08B7186A" w:rsidR="007E496C" w:rsidRPr="007E496C" w:rsidRDefault="007E496C" w:rsidP="007E496C">
      <w:pPr>
        <w:spacing w:after="0" w:line="240" w:lineRule="auto"/>
        <w:jc w:val="center"/>
        <w:rPr>
          <w:rFonts w:ascii="DINPro-Regular" w:eastAsia="Times New Roman Bold" w:hAnsi="DINPro-Regular"/>
          <w:b/>
          <w:bCs/>
          <w:caps/>
        </w:rPr>
      </w:pPr>
      <w:r w:rsidRPr="007E496C">
        <w:rPr>
          <w:rFonts w:ascii="DINPro-Regular" w:eastAsia="Times New Roman Bold" w:hAnsi="DINPro-Regular"/>
          <w:b/>
          <w:bCs/>
          <w:caps/>
        </w:rPr>
        <w:t>N</w:t>
      </w:r>
      <w:r w:rsidR="003B37A3" w:rsidRPr="007E496C">
        <w:rPr>
          <w:rFonts w:ascii="DINPro-Regular" w:eastAsia="Times New Roman Bold" w:hAnsi="DINPro-Regular"/>
          <w:b/>
          <w:bCs/>
          <w:caps/>
        </w:rPr>
        <w:t>ondiscrimination statement and Notice to the public</w:t>
      </w:r>
      <w:r w:rsidR="0062076D" w:rsidRPr="007E496C">
        <w:rPr>
          <w:rFonts w:ascii="DINPro-Regular" w:eastAsia="Times New Roman Bold" w:hAnsi="DINPro-Regular"/>
          <w:b/>
          <w:bCs/>
          <w:caps/>
        </w:rPr>
        <w:t xml:space="preserve"> </w:t>
      </w:r>
      <w:r w:rsidR="003B37A3" w:rsidRPr="007E496C">
        <w:rPr>
          <w:rFonts w:ascii="DINPro-Regular" w:eastAsia="Times New Roman Bold" w:hAnsi="DINPro-Regular"/>
          <w:b/>
          <w:bCs/>
          <w:caps/>
        </w:rPr>
        <w:t xml:space="preserve">About Nondiscrimination and Accessibility Requirements: </w:t>
      </w:r>
    </w:p>
    <w:p w14:paraId="4D11BC1A" w14:textId="695968A7" w:rsidR="003B37A3" w:rsidRDefault="003B37A3" w:rsidP="007E496C">
      <w:pPr>
        <w:spacing w:after="0" w:line="240" w:lineRule="auto"/>
        <w:jc w:val="center"/>
        <w:rPr>
          <w:rFonts w:ascii="DINPro-Regular" w:eastAsia="Times New Roman Bold" w:hAnsi="DINPro-Regular"/>
          <w:b/>
          <w:bCs/>
          <w:caps/>
        </w:rPr>
      </w:pPr>
      <w:r w:rsidRPr="007E496C">
        <w:rPr>
          <w:rFonts w:ascii="DINPro-Regular" w:eastAsia="Times New Roman Bold" w:hAnsi="DINPro-Regular"/>
          <w:b/>
          <w:bCs/>
          <w:caps/>
        </w:rPr>
        <w:t>Discrimination is Against the Law</w:t>
      </w:r>
    </w:p>
    <w:p w14:paraId="2610C31C" w14:textId="77777777" w:rsidR="007E496C" w:rsidRPr="007E496C" w:rsidRDefault="007E496C" w:rsidP="007E496C">
      <w:pPr>
        <w:spacing w:after="0" w:line="240" w:lineRule="auto"/>
        <w:jc w:val="center"/>
        <w:rPr>
          <w:rFonts w:ascii="DINPro-Regular" w:eastAsia="Times New Roman Bold" w:hAnsi="DINPro-Regular"/>
          <w:b/>
          <w:bCs/>
          <w:caps/>
        </w:rPr>
      </w:pPr>
    </w:p>
    <w:p w14:paraId="3C6A07FD" w14:textId="77777777" w:rsidR="003B37A3" w:rsidRPr="007E496C" w:rsidRDefault="003B37A3" w:rsidP="003B37A3">
      <w:pPr>
        <w:jc w:val="both"/>
        <w:rPr>
          <w:rFonts w:ascii="DINPro-Regular" w:hAnsi="DINPro-Regular"/>
          <w:b/>
          <w:sz w:val="20"/>
          <w:szCs w:val="20"/>
        </w:rPr>
      </w:pPr>
      <w:r w:rsidRPr="007E496C">
        <w:rPr>
          <w:rFonts w:ascii="DINPro-Regular" w:hAnsi="DINPro-Regular"/>
          <w:b/>
          <w:sz w:val="20"/>
          <w:szCs w:val="20"/>
        </w:rPr>
        <w:t>CellNetix Pathology &amp; Laboratories complies with applicable Federal civil rights laws and does not discriminate on the basis of race, color, national origin, age, disability, or sex. CellNetix Pathology &amp; Laboratories does not exclude people or treat them differently because of race, color, national origin, age, disability, or sex.</w:t>
      </w:r>
    </w:p>
    <w:p w14:paraId="4AC146E2" w14:textId="77777777" w:rsidR="003B37A3" w:rsidRPr="007E496C" w:rsidRDefault="003B37A3" w:rsidP="003B37A3">
      <w:pPr>
        <w:jc w:val="both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CellNetix Pathology &amp; Laboratories provides free aids and services to people with disabilities to communicate effectively with us, such as:</w:t>
      </w:r>
    </w:p>
    <w:p w14:paraId="73C91B00" w14:textId="77777777" w:rsidR="003B37A3" w:rsidRPr="007E496C" w:rsidRDefault="003B37A3" w:rsidP="003B37A3">
      <w:pPr>
        <w:pStyle w:val="ListParagraph"/>
        <w:numPr>
          <w:ilvl w:val="0"/>
          <w:numId w:val="3"/>
        </w:numPr>
        <w:jc w:val="both"/>
        <w:rPr>
          <w:rFonts w:ascii="DINPro-Regular" w:hAnsi="DINPro-Regular"/>
          <w:sz w:val="22"/>
          <w:szCs w:val="22"/>
        </w:rPr>
      </w:pPr>
      <w:r w:rsidRPr="007E496C">
        <w:rPr>
          <w:rFonts w:ascii="DINPro-Regular" w:hAnsi="DINPro-Regular"/>
          <w:sz w:val="22"/>
          <w:szCs w:val="22"/>
        </w:rPr>
        <w:t>Qualified sign language interpreters</w:t>
      </w:r>
    </w:p>
    <w:p w14:paraId="051DB31C" w14:textId="77777777" w:rsidR="003B37A3" w:rsidRPr="007E496C" w:rsidRDefault="003B37A3" w:rsidP="003B37A3">
      <w:pPr>
        <w:pStyle w:val="ListParagraph"/>
        <w:numPr>
          <w:ilvl w:val="0"/>
          <w:numId w:val="3"/>
        </w:numPr>
        <w:jc w:val="both"/>
        <w:rPr>
          <w:rFonts w:ascii="DINPro-Regular" w:hAnsi="DINPro-Regular"/>
          <w:sz w:val="22"/>
          <w:szCs w:val="22"/>
        </w:rPr>
      </w:pPr>
      <w:r w:rsidRPr="007E496C">
        <w:rPr>
          <w:rFonts w:ascii="DINPro-Regular" w:hAnsi="DINPro-Regular"/>
          <w:sz w:val="22"/>
          <w:szCs w:val="22"/>
        </w:rPr>
        <w:t>Written information in other formats (large print, audio, accessible electronic formats, other formats)</w:t>
      </w:r>
    </w:p>
    <w:p w14:paraId="5F6CE00F" w14:textId="77777777" w:rsidR="003B37A3" w:rsidRPr="007E496C" w:rsidRDefault="003B37A3" w:rsidP="003B37A3">
      <w:pPr>
        <w:pStyle w:val="ListParagraph"/>
        <w:jc w:val="both"/>
        <w:rPr>
          <w:rFonts w:ascii="DINPro-Regular" w:hAnsi="DINPro-Regular"/>
          <w:sz w:val="22"/>
          <w:szCs w:val="22"/>
        </w:rPr>
      </w:pPr>
    </w:p>
    <w:p w14:paraId="6EDC83B3" w14:textId="77777777" w:rsidR="003B37A3" w:rsidRPr="007E496C" w:rsidRDefault="003B37A3" w:rsidP="003B37A3">
      <w:pPr>
        <w:jc w:val="both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CellNetix Pathology &amp; Laboratories also provides free language services to people whose primary language is not English, such as:</w:t>
      </w:r>
    </w:p>
    <w:p w14:paraId="1CB56B95" w14:textId="77777777" w:rsidR="003B37A3" w:rsidRPr="007E496C" w:rsidRDefault="003B37A3" w:rsidP="003B37A3">
      <w:pPr>
        <w:pStyle w:val="ListParagraph"/>
        <w:numPr>
          <w:ilvl w:val="0"/>
          <w:numId w:val="3"/>
        </w:numPr>
        <w:jc w:val="both"/>
        <w:rPr>
          <w:rFonts w:ascii="DINPro-Regular" w:hAnsi="DINPro-Regular"/>
          <w:sz w:val="22"/>
          <w:szCs w:val="22"/>
        </w:rPr>
      </w:pPr>
      <w:r w:rsidRPr="007E496C">
        <w:rPr>
          <w:rFonts w:ascii="DINPro-Regular" w:hAnsi="DINPro-Regular"/>
          <w:sz w:val="22"/>
          <w:szCs w:val="22"/>
        </w:rPr>
        <w:t>Qualified interpreters</w:t>
      </w:r>
    </w:p>
    <w:p w14:paraId="76ECE8D9" w14:textId="77777777" w:rsidR="003B37A3" w:rsidRPr="007E496C" w:rsidRDefault="003B37A3" w:rsidP="003B37A3">
      <w:pPr>
        <w:pStyle w:val="ListParagraph"/>
        <w:numPr>
          <w:ilvl w:val="0"/>
          <w:numId w:val="3"/>
        </w:numPr>
        <w:jc w:val="both"/>
        <w:rPr>
          <w:rFonts w:ascii="DINPro-Regular" w:hAnsi="DINPro-Regular"/>
          <w:sz w:val="22"/>
          <w:szCs w:val="22"/>
        </w:rPr>
      </w:pPr>
      <w:r w:rsidRPr="007E496C">
        <w:rPr>
          <w:rFonts w:ascii="DINPro-Regular" w:hAnsi="DINPro-Regular"/>
          <w:sz w:val="22"/>
          <w:szCs w:val="22"/>
        </w:rPr>
        <w:t>Information written in other languages</w:t>
      </w:r>
    </w:p>
    <w:p w14:paraId="79ADD619" w14:textId="77777777" w:rsidR="003B37A3" w:rsidRPr="007E496C" w:rsidRDefault="003B37A3" w:rsidP="003B37A3">
      <w:pPr>
        <w:jc w:val="both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br/>
        <w:t xml:space="preserve">If you need any of these services or have any questions, please contact us at 1124 Columbia Street, Suite 200, Seattle, WA 98032, Tel: (866) 721-9696, Fax: (206) 215-5935, Email: </w:t>
      </w:r>
      <w:hyperlink r:id="rId8" w:history="1">
        <w:r w:rsidRPr="007E496C">
          <w:rPr>
            <w:rStyle w:val="Hyperlink"/>
            <w:rFonts w:ascii="DINPro-Regular" w:hAnsi="DINPro-Regular"/>
            <w:sz w:val="20"/>
            <w:szCs w:val="20"/>
          </w:rPr>
          <w:t>compliance@cellnetix.com</w:t>
        </w:r>
      </w:hyperlink>
      <w:r w:rsidRPr="007E496C">
        <w:rPr>
          <w:rFonts w:ascii="DINPro-Regular" w:hAnsi="DINPro-Regular"/>
          <w:sz w:val="20"/>
          <w:szCs w:val="20"/>
        </w:rPr>
        <w:t xml:space="preserve">. </w:t>
      </w:r>
    </w:p>
    <w:p w14:paraId="1CFB744C" w14:textId="77777777" w:rsidR="003B37A3" w:rsidRPr="007E496C" w:rsidRDefault="003B37A3" w:rsidP="003B37A3">
      <w:pPr>
        <w:jc w:val="both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If you believe that CellNetix Pathology &amp; Laboratories, LLC has failed to provide these services or discriminated in another way on the basis of race, color, national origin, age, disability, or sex, you can file a grievance with Martin Pointon at the above address.  You can file a grievance in person, by mail, or fax.  If you need help filing a grievance, Martin Pointon is available to help you.</w:t>
      </w:r>
    </w:p>
    <w:p w14:paraId="75A93AC8" w14:textId="77777777" w:rsidR="003B37A3" w:rsidRPr="007E496C" w:rsidRDefault="003B37A3" w:rsidP="003B37A3">
      <w:pPr>
        <w:jc w:val="both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 xml:space="preserve">You can also file a civil rights complaint with the U.S. Department of Health and Human Services, Office for Civil Rights, electronically through the Office for Civil Rights Complaint Portal, available at https://ocrportal.hhs.gov/ocr/portal/lobby.jsf, or by mail or phone at: </w:t>
      </w:r>
    </w:p>
    <w:p w14:paraId="78410D2E" w14:textId="77777777" w:rsidR="003B37A3" w:rsidRPr="007E496C" w:rsidRDefault="003B37A3" w:rsidP="003B37A3">
      <w:pPr>
        <w:ind w:left="2880"/>
        <w:rPr>
          <w:rFonts w:ascii="DINPro-Regular" w:hAnsi="DINPro-Regular"/>
          <w:b/>
          <w:sz w:val="20"/>
          <w:szCs w:val="20"/>
        </w:rPr>
      </w:pPr>
      <w:r w:rsidRPr="007E496C">
        <w:rPr>
          <w:rFonts w:ascii="DINPro-Regular" w:hAnsi="DINPro-Regular"/>
          <w:b/>
          <w:sz w:val="20"/>
          <w:szCs w:val="20"/>
        </w:rPr>
        <w:t>U.S. Department of Health and Human Services</w:t>
      </w:r>
    </w:p>
    <w:p w14:paraId="72A387BB" w14:textId="261F4E20" w:rsidR="003B37A3" w:rsidRPr="007E496C" w:rsidRDefault="003B37A3" w:rsidP="003B37A3">
      <w:pPr>
        <w:ind w:left="2880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200 Independence Avenue</w:t>
      </w:r>
      <w:r w:rsidR="007E496C">
        <w:rPr>
          <w:rFonts w:ascii="DINPro-Regular" w:hAnsi="DINPro-Regular"/>
          <w:sz w:val="20"/>
          <w:szCs w:val="20"/>
        </w:rPr>
        <w:t>,</w:t>
      </w:r>
      <w:r w:rsidRPr="007E496C">
        <w:rPr>
          <w:rFonts w:ascii="DINPro-Regular" w:hAnsi="DINPro-Regular"/>
          <w:sz w:val="20"/>
          <w:szCs w:val="20"/>
        </w:rPr>
        <w:t xml:space="preserve"> SW </w:t>
      </w:r>
    </w:p>
    <w:p w14:paraId="069B120A" w14:textId="77777777" w:rsidR="003B37A3" w:rsidRPr="007E496C" w:rsidRDefault="003B37A3" w:rsidP="003B37A3">
      <w:pPr>
        <w:ind w:left="2880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 xml:space="preserve">Room 509F, HHH Building </w:t>
      </w:r>
    </w:p>
    <w:p w14:paraId="060FBBEA" w14:textId="77777777" w:rsidR="003B37A3" w:rsidRPr="007E496C" w:rsidRDefault="003B37A3" w:rsidP="003B37A3">
      <w:pPr>
        <w:ind w:left="2880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Washington, D.C. 20201</w:t>
      </w:r>
    </w:p>
    <w:p w14:paraId="24A8AEEA" w14:textId="77777777" w:rsidR="003B37A3" w:rsidRPr="007E496C" w:rsidRDefault="003B37A3" w:rsidP="003B37A3">
      <w:pPr>
        <w:ind w:left="2880"/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>1-800-368-1019 / 1-800-537-7697 (TDD)</w:t>
      </w:r>
    </w:p>
    <w:p w14:paraId="764B159B" w14:textId="77777777" w:rsidR="003B37A3" w:rsidRPr="007E496C" w:rsidRDefault="003B37A3" w:rsidP="00F23438">
      <w:pPr>
        <w:rPr>
          <w:rFonts w:ascii="DINPro-Regular" w:hAnsi="DINPro-Regular"/>
          <w:sz w:val="20"/>
          <w:szCs w:val="20"/>
        </w:rPr>
      </w:pPr>
      <w:r w:rsidRPr="007E496C">
        <w:rPr>
          <w:rFonts w:ascii="DINPro-Regular" w:hAnsi="DINPro-Regular"/>
          <w:sz w:val="20"/>
          <w:szCs w:val="20"/>
        </w:rPr>
        <w:t xml:space="preserve">Complaint forms are available at </w:t>
      </w:r>
      <w:hyperlink r:id="rId9" w:history="1">
        <w:r w:rsidRPr="007E496C">
          <w:rPr>
            <w:rStyle w:val="Hyperlink"/>
            <w:rFonts w:ascii="DINPro-Regular" w:hAnsi="DINPro-Regular"/>
            <w:sz w:val="20"/>
            <w:szCs w:val="20"/>
          </w:rPr>
          <w:t>http://www.hhs.gov/ocr/office/file/index.html</w:t>
        </w:r>
      </w:hyperlink>
      <w:bookmarkStart w:id="0" w:name="_GoBack"/>
      <w:bookmarkEnd w:id="0"/>
    </w:p>
    <w:sectPr w:rsidR="003B37A3" w:rsidRPr="007E496C" w:rsidSect="005A529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85F0" w14:textId="77777777" w:rsidR="0022716A" w:rsidRDefault="0022716A" w:rsidP="00CD1CAA">
      <w:pPr>
        <w:spacing w:after="0" w:line="240" w:lineRule="auto"/>
      </w:pPr>
      <w:r>
        <w:separator/>
      </w:r>
    </w:p>
  </w:endnote>
  <w:endnote w:type="continuationSeparator" w:id="0">
    <w:p w14:paraId="6F8D83BD" w14:textId="77777777" w:rsidR="0022716A" w:rsidRDefault="0022716A" w:rsidP="00CD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20207" w:usb1="000200A8" w:usb2="00A816CF" w:usb3="00000001" w:csb0="00A80085" w:csb1="179F138A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6204" w14:textId="104A0F72" w:rsidR="00D00FDF" w:rsidRPr="008F3EBA" w:rsidRDefault="007E496C" w:rsidP="008F3EBA">
    <w:pPr>
      <w:pStyle w:val="Footer"/>
    </w:pPr>
    <w:r>
      <w:rPr>
        <w:noProof/>
      </w:rPr>
      <w:drawing>
        <wp:anchor distT="0" distB="0" distL="114300" distR="114300" simplePos="0" relativeHeight="251654142" behindDoc="1" locked="0" layoutInCell="1" allowOverlap="1" wp14:anchorId="20579956" wp14:editId="0E272F30">
          <wp:simplePos x="0" y="0"/>
          <wp:positionH relativeFrom="column">
            <wp:posOffset>-1600200</wp:posOffset>
          </wp:positionH>
          <wp:positionV relativeFrom="paragraph">
            <wp:posOffset>95250</wp:posOffset>
          </wp:positionV>
          <wp:extent cx="8991600" cy="1181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FDF">
      <w:tab/>
    </w:r>
    <w:r w:rsidR="00D00FD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89B6" w14:textId="41F91F62" w:rsidR="0062076D" w:rsidRDefault="007E496C" w:rsidP="0062076D">
    <w:pPr>
      <w:pStyle w:val="Footer"/>
      <w:tabs>
        <w:tab w:val="clear" w:pos="4680"/>
        <w:tab w:val="clear" w:pos="9360"/>
        <w:tab w:val="left" w:pos="5988"/>
      </w:tabs>
    </w:pPr>
    <w:r>
      <w:rPr>
        <w:noProof/>
      </w:rPr>
      <w:drawing>
        <wp:anchor distT="0" distB="0" distL="114300" distR="114300" simplePos="0" relativeHeight="251655167" behindDoc="1" locked="0" layoutInCell="1" allowOverlap="1" wp14:anchorId="11203D2C" wp14:editId="3F5F3175">
          <wp:simplePos x="0" y="0"/>
          <wp:positionH relativeFrom="column">
            <wp:posOffset>-989965</wp:posOffset>
          </wp:positionH>
          <wp:positionV relativeFrom="paragraph">
            <wp:posOffset>176530</wp:posOffset>
          </wp:positionV>
          <wp:extent cx="7772400" cy="425450"/>
          <wp:effectExtent l="0" t="0" r="0" b="0"/>
          <wp:wrapThrough wrapText="bothSides">
            <wp:wrapPolygon edited="0">
              <wp:start x="0" y="0"/>
              <wp:lineTo x="0" y="20310"/>
              <wp:lineTo x="21547" y="20310"/>
              <wp:lineTo x="2154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69" b="250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7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C9E7" w14:textId="77777777" w:rsidR="0022716A" w:rsidRDefault="0022716A" w:rsidP="00CD1CAA">
      <w:pPr>
        <w:spacing w:after="0" w:line="240" w:lineRule="auto"/>
      </w:pPr>
      <w:r>
        <w:separator/>
      </w:r>
    </w:p>
  </w:footnote>
  <w:footnote w:type="continuationSeparator" w:id="0">
    <w:p w14:paraId="2772696D" w14:textId="77777777" w:rsidR="0022716A" w:rsidRDefault="0022716A" w:rsidP="00CD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6765" w14:textId="77777777" w:rsidR="00D00FDF" w:rsidRDefault="00D00FD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D42" w14:textId="5A54EF5D" w:rsidR="005A529C" w:rsidRDefault="007E49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23B87" wp14:editId="25CD9189">
          <wp:simplePos x="0" y="0"/>
          <wp:positionH relativeFrom="column">
            <wp:posOffset>3601720</wp:posOffset>
          </wp:positionH>
          <wp:positionV relativeFrom="paragraph">
            <wp:posOffset>-600075</wp:posOffset>
          </wp:positionV>
          <wp:extent cx="3322955" cy="2209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9D2883A" wp14:editId="11FD2BF3">
          <wp:simplePos x="0" y="0"/>
          <wp:positionH relativeFrom="column">
            <wp:posOffset>-448945</wp:posOffset>
          </wp:positionH>
          <wp:positionV relativeFrom="paragraph">
            <wp:posOffset>-95885</wp:posOffset>
          </wp:positionV>
          <wp:extent cx="791845" cy="6007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E64"/>
    <w:multiLevelType w:val="hybridMultilevel"/>
    <w:tmpl w:val="C5F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869"/>
    <w:multiLevelType w:val="hybridMultilevel"/>
    <w:tmpl w:val="2D8A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30C3"/>
    <w:multiLevelType w:val="hybridMultilevel"/>
    <w:tmpl w:val="D0AE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8"/>
    <w:rsid w:val="000244A2"/>
    <w:rsid w:val="00024869"/>
    <w:rsid w:val="00033DBA"/>
    <w:rsid w:val="000342A1"/>
    <w:rsid w:val="000435AE"/>
    <w:rsid w:val="000573D7"/>
    <w:rsid w:val="000638ED"/>
    <w:rsid w:val="0007256E"/>
    <w:rsid w:val="00085EB0"/>
    <w:rsid w:val="000B3E95"/>
    <w:rsid w:val="000C3E5E"/>
    <w:rsid w:val="000C5D25"/>
    <w:rsid w:val="000E4730"/>
    <w:rsid w:val="00116B87"/>
    <w:rsid w:val="00121A9F"/>
    <w:rsid w:val="00142D2D"/>
    <w:rsid w:val="00142E46"/>
    <w:rsid w:val="001A4E0C"/>
    <w:rsid w:val="001F46A5"/>
    <w:rsid w:val="001F640D"/>
    <w:rsid w:val="0020756D"/>
    <w:rsid w:val="002225EF"/>
    <w:rsid w:val="0022716A"/>
    <w:rsid w:val="00256E05"/>
    <w:rsid w:val="002A73EF"/>
    <w:rsid w:val="002B019A"/>
    <w:rsid w:val="002C7C0A"/>
    <w:rsid w:val="002D6D72"/>
    <w:rsid w:val="002D7325"/>
    <w:rsid w:val="002F2165"/>
    <w:rsid w:val="002F39BF"/>
    <w:rsid w:val="00301E10"/>
    <w:rsid w:val="0030506D"/>
    <w:rsid w:val="00314E1E"/>
    <w:rsid w:val="00316A54"/>
    <w:rsid w:val="00341456"/>
    <w:rsid w:val="00351182"/>
    <w:rsid w:val="003617AD"/>
    <w:rsid w:val="00363A7F"/>
    <w:rsid w:val="00365A21"/>
    <w:rsid w:val="00380148"/>
    <w:rsid w:val="00385AF6"/>
    <w:rsid w:val="003A32EC"/>
    <w:rsid w:val="003A59B4"/>
    <w:rsid w:val="003B37A3"/>
    <w:rsid w:val="003B59D3"/>
    <w:rsid w:val="003E3103"/>
    <w:rsid w:val="003F7C33"/>
    <w:rsid w:val="00406E08"/>
    <w:rsid w:val="0041748B"/>
    <w:rsid w:val="00422247"/>
    <w:rsid w:val="00432DEE"/>
    <w:rsid w:val="004331F1"/>
    <w:rsid w:val="004371A2"/>
    <w:rsid w:val="00477D42"/>
    <w:rsid w:val="0049674C"/>
    <w:rsid w:val="004A3D2E"/>
    <w:rsid w:val="004C4C36"/>
    <w:rsid w:val="004D1130"/>
    <w:rsid w:val="004D184F"/>
    <w:rsid w:val="004E1CB2"/>
    <w:rsid w:val="0050774E"/>
    <w:rsid w:val="00522F41"/>
    <w:rsid w:val="005238A7"/>
    <w:rsid w:val="0052493C"/>
    <w:rsid w:val="0053015A"/>
    <w:rsid w:val="005440C8"/>
    <w:rsid w:val="00545E5A"/>
    <w:rsid w:val="00563190"/>
    <w:rsid w:val="005659B5"/>
    <w:rsid w:val="005A529C"/>
    <w:rsid w:val="005F1048"/>
    <w:rsid w:val="00603452"/>
    <w:rsid w:val="00610C3F"/>
    <w:rsid w:val="006112A4"/>
    <w:rsid w:val="0062076D"/>
    <w:rsid w:val="00632036"/>
    <w:rsid w:val="0063627F"/>
    <w:rsid w:val="00647CDE"/>
    <w:rsid w:val="00654EE8"/>
    <w:rsid w:val="00656844"/>
    <w:rsid w:val="006736BE"/>
    <w:rsid w:val="0069754E"/>
    <w:rsid w:val="006A4421"/>
    <w:rsid w:val="006A689D"/>
    <w:rsid w:val="006B124C"/>
    <w:rsid w:val="006B6A9F"/>
    <w:rsid w:val="006D0CA2"/>
    <w:rsid w:val="006D1C54"/>
    <w:rsid w:val="006D68B2"/>
    <w:rsid w:val="006D6FB7"/>
    <w:rsid w:val="006E3373"/>
    <w:rsid w:val="006E50E5"/>
    <w:rsid w:val="0071692C"/>
    <w:rsid w:val="0076753F"/>
    <w:rsid w:val="00786EB2"/>
    <w:rsid w:val="0078775A"/>
    <w:rsid w:val="00792747"/>
    <w:rsid w:val="00797254"/>
    <w:rsid w:val="007A6D37"/>
    <w:rsid w:val="007A6DCC"/>
    <w:rsid w:val="007A7E3C"/>
    <w:rsid w:val="007B78ED"/>
    <w:rsid w:val="007D5553"/>
    <w:rsid w:val="007D5A85"/>
    <w:rsid w:val="007E2792"/>
    <w:rsid w:val="007E496C"/>
    <w:rsid w:val="0082226D"/>
    <w:rsid w:val="00840F15"/>
    <w:rsid w:val="008A35E7"/>
    <w:rsid w:val="008B1B19"/>
    <w:rsid w:val="008B2440"/>
    <w:rsid w:val="008D5234"/>
    <w:rsid w:val="008E71E1"/>
    <w:rsid w:val="008F3EBA"/>
    <w:rsid w:val="009165CC"/>
    <w:rsid w:val="00936A66"/>
    <w:rsid w:val="0095736A"/>
    <w:rsid w:val="00970B67"/>
    <w:rsid w:val="0098175A"/>
    <w:rsid w:val="00984148"/>
    <w:rsid w:val="009843B2"/>
    <w:rsid w:val="009D2292"/>
    <w:rsid w:val="009E4287"/>
    <w:rsid w:val="009E7A9F"/>
    <w:rsid w:val="00A066F6"/>
    <w:rsid w:val="00A1666E"/>
    <w:rsid w:val="00A21EF8"/>
    <w:rsid w:val="00A51E0A"/>
    <w:rsid w:val="00A74E54"/>
    <w:rsid w:val="00A76CB9"/>
    <w:rsid w:val="00A803DB"/>
    <w:rsid w:val="00AA7387"/>
    <w:rsid w:val="00AA7875"/>
    <w:rsid w:val="00AE24E2"/>
    <w:rsid w:val="00AE2B78"/>
    <w:rsid w:val="00AF1D9B"/>
    <w:rsid w:val="00B00AA9"/>
    <w:rsid w:val="00B03030"/>
    <w:rsid w:val="00B64074"/>
    <w:rsid w:val="00B6630B"/>
    <w:rsid w:val="00B743DF"/>
    <w:rsid w:val="00B80C95"/>
    <w:rsid w:val="00B83CEE"/>
    <w:rsid w:val="00BB4E6C"/>
    <w:rsid w:val="00C26EFA"/>
    <w:rsid w:val="00C66066"/>
    <w:rsid w:val="00C6666E"/>
    <w:rsid w:val="00C92C1C"/>
    <w:rsid w:val="00CA4387"/>
    <w:rsid w:val="00CA58E1"/>
    <w:rsid w:val="00CD1CAA"/>
    <w:rsid w:val="00CD3DFD"/>
    <w:rsid w:val="00D00FDF"/>
    <w:rsid w:val="00D01C3C"/>
    <w:rsid w:val="00D02C42"/>
    <w:rsid w:val="00D02EED"/>
    <w:rsid w:val="00D1420A"/>
    <w:rsid w:val="00D146DA"/>
    <w:rsid w:val="00D20FD9"/>
    <w:rsid w:val="00D5217E"/>
    <w:rsid w:val="00D71FB8"/>
    <w:rsid w:val="00DB30C3"/>
    <w:rsid w:val="00DD3173"/>
    <w:rsid w:val="00DE525C"/>
    <w:rsid w:val="00DF3DBB"/>
    <w:rsid w:val="00E0304D"/>
    <w:rsid w:val="00E0365B"/>
    <w:rsid w:val="00E22937"/>
    <w:rsid w:val="00E33913"/>
    <w:rsid w:val="00E36AC0"/>
    <w:rsid w:val="00E46119"/>
    <w:rsid w:val="00E76C95"/>
    <w:rsid w:val="00E824DC"/>
    <w:rsid w:val="00EB25D3"/>
    <w:rsid w:val="00EB6B2D"/>
    <w:rsid w:val="00EC5B0D"/>
    <w:rsid w:val="00EC6A7C"/>
    <w:rsid w:val="00EC6DFB"/>
    <w:rsid w:val="00F006EE"/>
    <w:rsid w:val="00F01431"/>
    <w:rsid w:val="00F03DDD"/>
    <w:rsid w:val="00F07D8F"/>
    <w:rsid w:val="00F23438"/>
    <w:rsid w:val="00F3126D"/>
    <w:rsid w:val="00F544FD"/>
    <w:rsid w:val="00F60AE9"/>
    <w:rsid w:val="00F763BB"/>
    <w:rsid w:val="00FA76ED"/>
    <w:rsid w:val="00FB2168"/>
    <w:rsid w:val="00FC4F7B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8E28AC7"/>
  <w15:chartTrackingRefBased/>
  <w15:docId w15:val="{1C29C582-1EA0-4388-A617-A9E1C1AE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AA"/>
  </w:style>
  <w:style w:type="paragraph" w:styleId="Footer">
    <w:name w:val="footer"/>
    <w:basedOn w:val="Normal"/>
    <w:link w:val="FooterChar"/>
    <w:uiPriority w:val="99"/>
    <w:unhideWhenUsed/>
    <w:rsid w:val="00CD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AA"/>
  </w:style>
  <w:style w:type="paragraph" w:styleId="BalloonText">
    <w:name w:val="Balloon Text"/>
    <w:basedOn w:val="Normal"/>
    <w:link w:val="BalloonTextChar"/>
    <w:uiPriority w:val="99"/>
    <w:semiHidden/>
    <w:unhideWhenUsed/>
    <w:rsid w:val="00CD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C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cellneti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0B59-9110-4054-91F1-BB3B939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Cellnetix Labs, LLC</Company>
  <LinksUpToDate>false</LinksUpToDate>
  <CharactersWithSpaces>2185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mailto:compliance@cellnetix.com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JoLeah Parker</dc:creator>
  <cp:keywords/>
  <cp:lastModifiedBy>Jean Delovino</cp:lastModifiedBy>
  <cp:revision>2</cp:revision>
  <cp:lastPrinted>2015-08-04T22:12:00Z</cp:lastPrinted>
  <dcterms:created xsi:type="dcterms:W3CDTF">2020-10-08T16:40:00Z</dcterms:created>
  <dcterms:modified xsi:type="dcterms:W3CDTF">2020-10-08T16:40:00Z</dcterms:modified>
</cp:coreProperties>
</file>